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8B" w:rsidRDefault="00903495" w:rsidP="00B1420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Networking 1</w:t>
      </w:r>
      <w:r w:rsidR="003D733A">
        <w:rPr>
          <w:b/>
          <w:u w:val="single"/>
        </w:rPr>
        <w:t>B</w:t>
      </w:r>
      <w:r w:rsidR="00D5398B" w:rsidRPr="00B14201">
        <w:rPr>
          <w:b/>
          <w:u w:val="single"/>
        </w:rPr>
        <w:t xml:space="preserve"> – </w:t>
      </w:r>
      <w:r w:rsidR="00D5398B">
        <w:rPr>
          <w:b/>
          <w:u w:val="single"/>
        </w:rPr>
        <w:t>Routing Table</w:t>
      </w:r>
      <w:r w:rsidR="008839D8">
        <w:rPr>
          <w:b/>
          <w:u w:val="single"/>
        </w:rPr>
        <w:t xml:space="preserve"> </w:t>
      </w:r>
      <w:r w:rsidR="00D5398B" w:rsidRPr="00B14201">
        <w:rPr>
          <w:b/>
          <w:u w:val="single"/>
        </w:rPr>
        <w:t>Lab</w:t>
      </w:r>
    </w:p>
    <w:p w:rsidR="00D5398B" w:rsidRDefault="00D5398B" w:rsidP="00B14201">
      <w:pPr>
        <w:pStyle w:val="NoSpacing"/>
      </w:pPr>
      <w:r>
        <w:rPr>
          <w:u w:val="single"/>
        </w:rPr>
        <w:t>Instructions</w:t>
      </w:r>
      <w:r>
        <w:t xml:space="preserve">:  This lab will test your ability to interpret routing tables.  You must construct a five router </w:t>
      </w:r>
      <w:proofErr w:type="gramStart"/>
      <w:r>
        <w:t>topology  (</w:t>
      </w:r>
      <w:proofErr w:type="gramEnd"/>
      <w:r>
        <w:t xml:space="preserve">R1 through R5).   Your network in the end should produce routing tables identical to those seen </w:t>
      </w:r>
      <w:r w:rsidR="00E573B4">
        <w:t>on page 2.  Fill out</w:t>
      </w:r>
      <w:r>
        <w:t xml:space="preserve"> this table to </w:t>
      </w:r>
      <w:r w:rsidR="00E573B4">
        <w:t xml:space="preserve">help </w:t>
      </w:r>
      <w:r>
        <w:t xml:space="preserve">assign IPs to </w:t>
      </w:r>
      <w:r w:rsidR="00E573B4">
        <w:t>the</w:t>
      </w:r>
      <w:r>
        <w:t xml:space="preserve"> various interfaces on your routers.</w:t>
      </w:r>
      <w:bookmarkStart w:id="0" w:name="_GoBack"/>
      <w:bookmarkEnd w:id="0"/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166"/>
        <w:gridCol w:w="2069"/>
        <w:gridCol w:w="2520"/>
      </w:tblGrid>
      <w:tr w:rsidR="00E573B4" w:rsidRPr="00924F77" w:rsidTr="00E573B4">
        <w:trPr>
          <w:trHeight w:hRule="exact" w:val="550"/>
        </w:trPr>
        <w:tc>
          <w:tcPr>
            <w:tcW w:w="996" w:type="dxa"/>
            <w:shd w:val="clear" w:color="auto" w:fill="000000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4F77">
              <w:rPr>
                <w:rFonts w:ascii="Arial" w:hAnsi="Arial" w:cs="Arial"/>
                <w:color w:val="FFFFFF"/>
                <w:sz w:val="20"/>
                <w:szCs w:val="20"/>
              </w:rPr>
              <w:t>Device</w:t>
            </w:r>
          </w:p>
        </w:tc>
        <w:tc>
          <w:tcPr>
            <w:tcW w:w="2166" w:type="dxa"/>
            <w:shd w:val="clear" w:color="auto" w:fill="000000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4F77">
              <w:rPr>
                <w:rFonts w:ascii="Arial" w:hAnsi="Arial" w:cs="Arial"/>
                <w:color w:val="FFFFFF"/>
                <w:sz w:val="20"/>
                <w:szCs w:val="20"/>
              </w:rPr>
              <w:t>Interface</w:t>
            </w:r>
          </w:p>
        </w:tc>
        <w:tc>
          <w:tcPr>
            <w:tcW w:w="2069" w:type="dxa"/>
            <w:shd w:val="clear" w:color="auto" w:fill="000000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4F77">
              <w:rPr>
                <w:rFonts w:ascii="Arial" w:hAnsi="Arial" w:cs="Arial"/>
                <w:color w:val="FFFFFF"/>
                <w:sz w:val="20"/>
                <w:szCs w:val="20"/>
              </w:rPr>
              <w:t>IP Address</w:t>
            </w:r>
          </w:p>
        </w:tc>
        <w:tc>
          <w:tcPr>
            <w:tcW w:w="2520" w:type="dxa"/>
            <w:shd w:val="clear" w:color="auto" w:fill="000000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4F77">
              <w:rPr>
                <w:rFonts w:ascii="Arial" w:hAnsi="Arial" w:cs="Arial"/>
                <w:color w:val="FFFFFF"/>
                <w:sz w:val="20"/>
                <w:szCs w:val="20"/>
              </w:rPr>
              <w:t>Subnet Mask</w:t>
            </w: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 w:val="restart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  <w:r w:rsidRPr="00924F77">
              <w:rPr>
                <w:rFonts w:ascii="Arial" w:hAnsi="Arial" w:cs="Arial"/>
              </w:rPr>
              <w:t>R1</w:t>
            </w: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 w:val="restart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  <w:r w:rsidRPr="00924F77">
              <w:rPr>
                <w:rFonts w:ascii="Arial" w:hAnsi="Arial" w:cs="Arial"/>
              </w:rPr>
              <w:t>R2</w:t>
            </w: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 w:val="restart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  <w:r w:rsidRPr="00924F77">
              <w:rPr>
                <w:rFonts w:ascii="Arial" w:hAnsi="Arial" w:cs="Arial"/>
              </w:rPr>
              <w:t>R3</w:t>
            </w: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 w:val="restart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  <w:r w:rsidRPr="00924F77">
              <w:rPr>
                <w:rFonts w:ascii="Arial" w:hAnsi="Arial" w:cs="Arial"/>
              </w:rPr>
              <w:t>R4</w:t>
            </w: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 w:val="restart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  <w:r w:rsidRPr="00924F77">
              <w:rPr>
                <w:rFonts w:ascii="Arial" w:hAnsi="Arial" w:cs="Arial"/>
              </w:rPr>
              <w:t>R5</w:t>
            </w: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573B4" w:rsidRPr="00924F77" w:rsidTr="00E573B4">
        <w:trPr>
          <w:trHeight w:hRule="exact" w:val="360"/>
        </w:trPr>
        <w:tc>
          <w:tcPr>
            <w:tcW w:w="996" w:type="dxa"/>
            <w:vMerge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E573B4" w:rsidRPr="00924F77" w:rsidRDefault="00E573B4" w:rsidP="00E573B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069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:rsidR="00E573B4" w:rsidRPr="000F75E6" w:rsidRDefault="00E573B4" w:rsidP="00E573B4">
            <w:pPr>
              <w:pStyle w:val="NoSpacing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3D733A" w:rsidRDefault="003D733A" w:rsidP="003D733A">
      <w:pPr>
        <w:pStyle w:val="NoSpacing"/>
      </w:pPr>
    </w:p>
    <w:p w:rsidR="003D733A" w:rsidRPr="00E573B4" w:rsidRDefault="003D733A" w:rsidP="003D733A">
      <w:pPr>
        <w:pStyle w:val="NoSpacing"/>
        <w:rPr>
          <w:b/>
        </w:rPr>
      </w:pPr>
      <w:r w:rsidRPr="00E573B4">
        <w:rPr>
          <w:b/>
        </w:rPr>
        <w:t>Deciphering Routing Table Information</w:t>
      </w:r>
    </w:p>
    <w:p w:rsidR="003D733A" w:rsidRDefault="003D733A" w:rsidP="003D733A">
      <w:pPr>
        <w:pStyle w:val="NoSpacing"/>
      </w:pPr>
      <w:r>
        <w:t>C</w:t>
      </w:r>
      <w:r>
        <w:tab/>
        <w:t>10.10.10.4 /30 is directly connected, Serial 0/0/0</w:t>
      </w:r>
    </w:p>
    <w:p w:rsidR="003D733A" w:rsidRDefault="003D733A" w:rsidP="003D733A">
      <w:pPr>
        <w:pStyle w:val="NoSpacing"/>
        <w:numPr>
          <w:ilvl w:val="0"/>
          <w:numId w:val="2"/>
        </w:numPr>
      </w:pPr>
      <w:r>
        <w:t xml:space="preserve">C means directly connected </w:t>
      </w:r>
    </w:p>
    <w:p w:rsidR="003D733A" w:rsidRDefault="003D733A" w:rsidP="003D733A">
      <w:pPr>
        <w:pStyle w:val="NoSpacing"/>
        <w:numPr>
          <w:ilvl w:val="0"/>
          <w:numId w:val="2"/>
        </w:numPr>
      </w:pPr>
      <w:r>
        <w:t>10.10.10.4/30 is the network address and subnet mask of this network</w:t>
      </w:r>
    </w:p>
    <w:p w:rsidR="003D733A" w:rsidRDefault="003D733A" w:rsidP="003D733A">
      <w:pPr>
        <w:pStyle w:val="NoSpacing"/>
        <w:numPr>
          <w:ilvl w:val="0"/>
          <w:numId w:val="2"/>
        </w:numPr>
      </w:pPr>
      <w:r>
        <w:t>Serial 0/0/0 is the interface to which this network is connected to the router</w:t>
      </w:r>
    </w:p>
    <w:p w:rsidR="00E573B4" w:rsidRDefault="00E573B4" w:rsidP="00E573B4">
      <w:pPr>
        <w:pStyle w:val="NoSpacing"/>
        <w:ind w:left="720"/>
      </w:pPr>
    </w:p>
    <w:p w:rsidR="003D733A" w:rsidRDefault="003D733A" w:rsidP="003D733A">
      <w:pPr>
        <w:pStyle w:val="NoSpacing"/>
      </w:pPr>
      <w:r>
        <w:t>R</w:t>
      </w:r>
      <w:r>
        <w:tab/>
        <w:t>172.16.2.64 /27 [120/1] via 10.10.10.10, 00:00:09, Serial 0/0/1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R means this network was learned from RIP and is NOT directly connected to this router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[120/1] – This is the administrative distance and metric</w:t>
      </w:r>
    </w:p>
    <w:p w:rsidR="003D733A" w:rsidRDefault="003D733A" w:rsidP="003D733A">
      <w:pPr>
        <w:pStyle w:val="NoSpacing"/>
        <w:numPr>
          <w:ilvl w:val="1"/>
          <w:numId w:val="3"/>
        </w:numPr>
      </w:pPr>
      <w:r>
        <w:t>administrative distance tells us what routing protocol is being used</w:t>
      </w:r>
    </w:p>
    <w:p w:rsidR="003D733A" w:rsidRDefault="003D733A" w:rsidP="003D733A">
      <w:pPr>
        <w:pStyle w:val="NoSpacing"/>
        <w:numPr>
          <w:ilvl w:val="2"/>
          <w:numId w:val="3"/>
        </w:numPr>
      </w:pPr>
      <w:r>
        <w:t>The lower the administrative distance, the more trustworthy the route is</w:t>
      </w:r>
    </w:p>
    <w:p w:rsidR="003D733A" w:rsidRDefault="003D733A" w:rsidP="003D733A">
      <w:pPr>
        <w:pStyle w:val="NoSpacing"/>
        <w:numPr>
          <w:ilvl w:val="2"/>
          <w:numId w:val="3"/>
        </w:numPr>
      </w:pPr>
      <w:r>
        <w:t>120 – RIP, 110 – OSPF, 90 – EIGRP, 1 – Static</w:t>
      </w:r>
    </w:p>
    <w:p w:rsidR="003D733A" w:rsidRDefault="003D733A" w:rsidP="003D733A">
      <w:pPr>
        <w:pStyle w:val="NoSpacing"/>
        <w:numPr>
          <w:ilvl w:val="1"/>
          <w:numId w:val="3"/>
        </w:numPr>
      </w:pPr>
      <w:proofErr w:type="gramStart"/>
      <w:r>
        <w:t>metric</w:t>
      </w:r>
      <w:proofErr w:type="gramEnd"/>
      <w:r>
        <w:t xml:space="preserve"> is the calculation of the route.  It changes from routing protocol to routing protocol</w:t>
      </w:r>
    </w:p>
    <w:p w:rsidR="003D733A" w:rsidRDefault="003D733A" w:rsidP="003D733A">
      <w:pPr>
        <w:pStyle w:val="NoSpacing"/>
        <w:numPr>
          <w:ilvl w:val="2"/>
          <w:numId w:val="3"/>
        </w:numPr>
      </w:pPr>
      <w:r>
        <w:t>/1, for RIP, means this network is 1 HOP away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172.16.2.64/27 is the network address and subnet mask of this network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via 10.10.10.10 – This is the IP address of the neighboring router interface that told us about the network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00:00:09 – How long ago the information about this network was received/updated.</w:t>
      </w:r>
    </w:p>
    <w:p w:rsidR="003D733A" w:rsidRDefault="003D733A" w:rsidP="003D733A">
      <w:pPr>
        <w:pStyle w:val="NoSpacing"/>
        <w:numPr>
          <w:ilvl w:val="0"/>
          <w:numId w:val="3"/>
        </w:numPr>
      </w:pPr>
      <w:r>
        <w:t>Serial 0/0/1 – This is the interface this router will use to get to the destination network</w:t>
      </w:r>
    </w:p>
    <w:p w:rsidR="00E573B4" w:rsidRDefault="00E573B4" w:rsidP="00E573B4">
      <w:pPr>
        <w:pStyle w:val="NoSpacing"/>
      </w:pPr>
    </w:p>
    <w:p w:rsidR="00E573B4" w:rsidRDefault="00E573B4" w:rsidP="00E573B4">
      <w:pPr>
        <w:pStyle w:val="NoSpacing"/>
      </w:pPr>
    </w:p>
    <w:p w:rsidR="00E573B4" w:rsidRPr="00E573B4" w:rsidRDefault="00E573B4" w:rsidP="00E573B4">
      <w:pPr>
        <w:pStyle w:val="NoSpacing"/>
        <w:rPr>
          <w:b/>
        </w:rPr>
      </w:pPr>
      <w:r w:rsidRPr="00E573B4">
        <w:rPr>
          <w:b/>
        </w:rPr>
        <w:lastRenderedPageBreak/>
        <w:t>Hints:</w:t>
      </w:r>
    </w:p>
    <w:p w:rsidR="00E573B4" w:rsidRDefault="00E573B4" w:rsidP="00E573B4">
      <w:pPr>
        <w:pStyle w:val="NoSpacing"/>
        <w:numPr>
          <w:ilvl w:val="0"/>
          <w:numId w:val="1"/>
        </w:numPr>
      </w:pPr>
      <w:r>
        <w:t>Start with the directly connected interfaces.</w:t>
      </w:r>
    </w:p>
    <w:p w:rsidR="00E573B4" w:rsidRDefault="00E573B4" w:rsidP="00E573B4">
      <w:pPr>
        <w:pStyle w:val="NoSpacing"/>
        <w:numPr>
          <w:ilvl w:val="0"/>
          <w:numId w:val="1"/>
        </w:numPr>
      </w:pPr>
      <w:r>
        <w:t xml:space="preserve">The Routers are all connected in a line.  </w:t>
      </w:r>
    </w:p>
    <w:p w:rsidR="00E573B4" w:rsidRDefault="00E573B4" w:rsidP="00E573B4">
      <w:pPr>
        <w:pStyle w:val="NoSpacing"/>
        <w:numPr>
          <w:ilvl w:val="0"/>
          <w:numId w:val="1"/>
        </w:numPr>
      </w:pPr>
      <w:r>
        <w:t>The routers are not connected in sequential order.  (Not R1, R2, R3….)</w:t>
      </w:r>
    </w:p>
    <w:p w:rsidR="00E573B4" w:rsidRDefault="00E573B4" w:rsidP="00E573B4">
      <w:pPr>
        <w:pStyle w:val="NoSpacing"/>
        <w:numPr>
          <w:ilvl w:val="0"/>
          <w:numId w:val="1"/>
        </w:numPr>
      </w:pPr>
      <w:r>
        <w:t xml:space="preserve">Auto-summary should be turned off so we can see the full routing table.  </w:t>
      </w:r>
    </w:p>
    <w:p w:rsidR="00E573B4" w:rsidRDefault="00E573B4" w:rsidP="00E573B4">
      <w:pPr>
        <w:pStyle w:val="NoSpacing"/>
        <w:numPr>
          <w:ilvl w:val="1"/>
          <w:numId w:val="1"/>
        </w:numPr>
      </w:pPr>
      <w:r>
        <w:t>ROUTER RIP</w:t>
      </w:r>
    </w:p>
    <w:p w:rsidR="00E573B4" w:rsidRDefault="00E573B4" w:rsidP="00E573B4">
      <w:pPr>
        <w:pStyle w:val="NoSpacing"/>
        <w:numPr>
          <w:ilvl w:val="1"/>
          <w:numId w:val="1"/>
        </w:numPr>
      </w:pPr>
      <w:r>
        <w:t>NO AUTO-SUMMARY</w:t>
      </w:r>
    </w:p>
    <w:p w:rsidR="00D5398B" w:rsidRDefault="00E573B4" w:rsidP="00B14201">
      <w:pPr>
        <w:pStyle w:val="NoSpacing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110490</wp:posOffset>
            </wp:positionV>
            <wp:extent cx="3268345" cy="2547620"/>
            <wp:effectExtent l="19050" t="19050" r="27305" b="2413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05" t="26349" r="19055" b="1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547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110490</wp:posOffset>
            </wp:positionV>
            <wp:extent cx="3319145" cy="2547620"/>
            <wp:effectExtent l="19050" t="19050" r="14605" b="2413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51" t="23354" r="17863" b="1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547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D5398B" w:rsidP="00B14201">
      <w:pPr>
        <w:pStyle w:val="NoSpacing"/>
      </w:pPr>
    </w:p>
    <w:p w:rsidR="00D5398B" w:rsidRDefault="00E573B4" w:rsidP="00B14201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29210</wp:posOffset>
            </wp:positionV>
            <wp:extent cx="3834765" cy="2680970"/>
            <wp:effectExtent l="19050" t="19050" r="13335" b="2413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08" t="30977" r="17030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6809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8B" w:rsidRDefault="00D5398B" w:rsidP="00B14201">
      <w:pPr>
        <w:pStyle w:val="NoSpacing"/>
      </w:pPr>
    </w:p>
    <w:p w:rsidR="00D5398B" w:rsidRPr="00B14201" w:rsidRDefault="00E573B4" w:rsidP="00B1420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2451100</wp:posOffset>
            </wp:positionV>
            <wp:extent cx="3401060" cy="2464435"/>
            <wp:effectExtent l="19050" t="19050" r="27940" b="12065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69" t="23651" r="17953" b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644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2460625</wp:posOffset>
            </wp:positionV>
            <wp:extent cx="3369945" cy="2467610"/>
            <wp:effectExtent l="19050" t="19050" r="20955" b="2794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314" t="22874" r="18758" b="1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676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98B" w:rsidRPr="00B14201" w:rsidSect="00B1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A76"/>
    <w:multiLevelType w:val="hybridMultilevel"/>
    <w:tmpl w:val="B10E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781C"/>
    <w:multiLevelType w:val="hybridMultilevel"/>
    <w:tmpl w:val="254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25A"/>
    <w:multiLevelType w:val="hybridMultilevel"/>
    <w:tmpl w:val="4096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1"/>
    <w:rsid w:val="00095AEB"/>
    <w:rsid w:val="000F75E6"/>
    <w:rsid w:val="00107EA2"/>
    <w:rsid w:val="001F0785"/>
    <w:rsid w:val="002812AF"/>
    <w:rsid w:val="002A0C6C"/>
    <w:rsid w:val="003C5756"/>
    <w:rsid w:val="003D733A"/>
    <w:rsid w:val="004647FD"/>
    <w:rsid w:val="005C1B86"/>
    <w:rsid w:val="006A69F5"/>
    <w:rsid w:val="007C530B"/>
    <w:rsid w:val="008839D8"/>
    <w:rsid w:val="00903495"/>
    <w:rsid w:val="00924F77"/>
    <w:rsid w:val="009251F1"/>
    <w:rsid w:val="009475CE"/>
    <w:rsid w:val="00A0092E"/>
    <w:rsid w:val="00A723C1"/>
    <w:rsid w:val="00B14201"/>
    <w:rsid w:val="00B165B3"/>
    <w:rsid w:val="00B56F5C"/>
    <w:rsid w:val="00C14901"/>
    <w:rsid w:val="00CA7836"/>
    <w:rsid w:val="00D5398B"/>
    <w:rsid w:val="00DA4093"/>
    <w:rsid w:val="00E14AA8"/>
    <w:rsid w:val="00E573B4"/>
    <w:rsid w:val="00E679C7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894755-019B-4409-86D8-F8B49BD9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420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420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14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2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201"/>
    <w:pPr>
      <w:spacing w:after="0"/>
    </w:pPr>
    <w:rPr>
      <w:rFonts w:ascii="Times New Roman" w:eastAsia="SimSun" w:hAnsi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20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99"/>
    <w:qFormat/>
    <w:rsid w:val="00B14201"/>
  </w:style>
  <w:style w:type="paragraph" w:styleId="BalloonText">
    <w:name w:val="Balloon Text"/>
    <w:basedOn w:val="Normal"/>
    <w:link w:val="BalloonTextChar"/>
    <w:uiPriority w:val="99"/>
    <w:semiHidden/>
    <w:rsid w:val="00B1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Networking 1B – Routing Table Challenge Lab</vt:lpstr>
    </vt:vector>
  </TitlesOfParts>
  <Company>Grizli777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1B – Routing Table Challenge Lab</dc:title>
  <dc:creator>User</dc:creator>
  <cp:lastModifiedBy>William Dixon</cp:lastModifiedBy>
  <cp:revision>2</cp:revision>
  <cp:lastPrinted>2018-01-10T15:26:00Z</cp:lastPrinted>
  <dcterms:created xsi:type="dcterms:W3CDTF">2018-01-10T15:33:00Z</dcterms:created>
  <dcterms:modified xsi:type="dcterms:W3CDTF">2018-01-10T15:33:00Z</dcterms:modified>
</cp:coreProperties>
</file>